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nodejs-readdirp 2.1.0</w:t>
      </w:r>
    </w:p>
    <w:p>
      <w:pPr/>
      <w:r>
        <w:rPr>
          <w:rStyle w:val="13"/>
          <w:rFonts w:ascii="Arial" w:hAnsi="Arial"/>
          <w:b/>
        </w:rPr>
        <w:t xml:space="preserve">Copyright notice: </w:t>
      </w:r>
    </w:p>
    <w:p>
      <w:pPr/>
      <w:r>
        <w:rPr>
          <w:rStyle w:val="13"/>
          <w:rFonts w:ascii="宋体" w:hAnsi="宋体"/>
          <w:sz w:val="22"/>
        </w:rPr>
        <w:t>Copyright (c) 2012-2015 Thorsten Lorenz</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