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python-pytest-timeout 2.1.0</w:t>
      </w:r>
    </w:p>
    <w:p>
      <w:pPr/>
      <w:r>
        <w:rPr>
          <w:rStyle w:val="13"/>
          <w:rFonts w:ascii="Arial" w:hAnsi="Arial"/>
          <w:b/>
        </w:rPr>
        <w:t xml:space="preserve">Copyright notice: </w:t>
      </w:r>
    </w:p>
    <w:p>
      <w:pPr/>
      <w:r>
        <w:rPr>
          <w:rStyle w:val="13"/>
          <w:rFonts w:ascii="宋体" w:hAnsi="宋体"/>
          <w:sz w:val="22"/>
        </w:rPr>
        <w:t>Copyright (C) 2012, 2014 Floris Bruynooghe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